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9E" w:rsidRPr="00465CB0" w:rsidRDefault="004F7E9E" w:rsidP="004F7E9E">
      <w:pPr>
        <w:pStyle w:val="ShapkaDocumentu"/>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rPr>
        <w:br/>
        <w:t>постановою Кабінету Міністрів України</w:t>
      </w:r>
      <w:r>
        <w:rPr>
          <w:rFonts w:ascii="Times New Roman" w:hAnsi="Times New Roman"/>
          <w:sz w:val="28"/>
          <w:szCs w:val="28"/>
        </w:rPr>
        <w:br/>
      </w:r>
      <w:r w:rsidRPr="00140A76">
        <w:rPr>
          <w:rFonts w:ascii="Times New Roman" w:hAnsi="Times New Roman"/>
          <w:sz w:val="28"/>
          <w:szCs w:val="28"/>
        </w:rPr>
        <w:t xml:space="preserve">від </w:t>
      </w:r>
      <w:r>
        <w:rPr>
          <w:rFonts w:ascii="Times New Roman" w:hAnsi="Times New Roman"/>
          <w:sz w:val="28"/>
          <w:szCs w:val="28"/>
        </w:rPr>
        <w:t xml:space="preserve">21 червня </w:t>
      </w:r>
      <w:r w:rsidRPr="00140A76">
        <w:rPr>
          <w:rFonts w:ascii="Times New Roman" w:hAnsi="Times New Roman"/>
          <w:sz w:val="28"/>
          <w:szCs w:val="28"/>
        </w:rPr>
        <w:t>20</w:t>
      </w:r>
      <w:r>
        <w:rPr>
          <w:rFonts w:ascii="Times New Roman" w:hAnsi="Times New Roman"/>
          <w:sz w:val="28"/>
          <w:szCs w:val="28"/>
        </w:rPr>
        <w:t>2</w:t>
      </w:r>
      <w:r w:rsidRPr="00465CB0">
        <w:rPr>
          <w:rFonts w:ascii="Times New Roman" w:hAnsi="Times New Roman"/>
          <w:sz w:val="28"/>
          <w:szCs w:val="28"/>
        </w:rPr>
        <w:t>2</w:t>
      </w:r>
      <w:r w:rsidRPr="00140A76">
        <w:rPr>
          <w:rFonts w:ascii="Times New Roman" w:hAnsi="Times New Roman"/>
          <w:sz w:val="28"/>
          <w:szCs w:val="28"/>
        </w:rPr>
        <w:t xml:space="preserve"> р. </w:t>
      </w:r>
      <w:r w:rsidRPr="00465CB0">
        <w:rPr>
          <w:rFonts w:ascii="Times New Roman" w:hAnsi="Times New Roman"/>
          <w:sz w:val="28"/>
          <w:szCs w:val="28"/>
        </w:rPr>
        <w:t>№ 738</w:t>
      </w:r>
    </w:p>
    <w:p w:rsidR="004F7E9E" w:rsidRDefault="004F7E9E" w:rsidP="004F7E9E">
      <w:pPr>
        <w:pStyle w:val="a4"/>
        <w:rPr>
          <w:rFonts w:ascii="Times New Roman" w:hAnsi="Times New Roman"/>
          <w:b w:val="0"/>
          <w:sz w:val="28"/>
          <w:szCs w:val="28"/>
        </w:rPr>
      </w:pPr>
      <w:bookmarkStart w:id="0" w:name="_GoBack"/>
      <w:r>
        <w:rPr>
          <w:rFonts w:ascii="Times New Roman" w:hAnsi="Times New Roman"/>
          <w:b w:val="0"/>
          <w:sz w:val="28"/>
          <w:szCs w:val="28"/>
        </w:rPr>
        <w:t>ПОРЯДОК</w:t>
      </w:r>
      <w:r>
        <w:rPr>
          <w:rFonts w:ascii="Times New Roman" w:hAnsi="Times New Roman"/>
          <w:b w:val="0"/>
          <w:sz w:val="28"/>
          <w:szCs w:val="28"/>
        </w:rPr>
        <w:br/>
        <w:t xml:space="preserve">надання </w:t>
      </w:r>
      <w:proofErr w:type="spellStart"/>
      <w:r>
        <w:rPr>
          <w:rFonts w:ascii="Times New Roman" w:hAnsi="Times New Roman"/>
          <w:b w:val="0"/>
          <w:sz w:val="28"/>
          <w:szCs w:val="28"/>
        </w:rPr>
        <w:t>мікрогрантів</w:t>
      </w:r>
      <w:proofErr w:type="spellEnd"/>
      <w:r>
        <w:rPr>
          <w:rFonts w:ascii="Times New Roman" w:hAnsi="Times New Roman"/>
          <w:b w:val="0"/>
          <w:sz w:val="28"/>
          <w:szCs w:val="28"/>
        </w:rPr>
        <w:t xml:space="preserve"> на створення або </w:t>
      </w:r>
      <w:r>
        <w:rPr>
          <w:rFonts w:ascii="Times New Roman" w:hAnsi="Times New Roman"/>
          <w:b w:val="0"/>
          <w:sz w:val="28"/>
          <w:szCs w:val="28"/>
        </w:rPr>
        <w:br/>
        <w:t>розвиток власного бізнесу</w:t>
      </w:r>
      <w:bookmarkEnd w:id="0"/>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 Цей Порядок визначає умови, критерії, механізм використання коштів, передбачених Мінекономіки у загальному фонді за рахунок коштів резервного фонду державного бюджету за програмою “Надання грантів для створення або розвитку бізнесу” для надання безповоротної державної допомоги фізичним особам, суб’єктам господарювання (далі — отримувач) у формі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на створення або розвиток власного бізнесу (далі — </w:t>
      </w:r>
      <w:proofErr w:type="spellStart"/>
      <w:r>
        <w:rPr>
          <w:rFonts w:ascii="Times New Roman" w:hAnsi="Times New Roman"/>
          <w:sz w:val="28"/>
          <w:szCs w:val="28"/>
        </w:rPr>
        <w:t>мікрогрант</w:t>
      </w:r>
      <w:proofErr w:type="spellEnd"/>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 Головним розпорядником бюджетних коштів є Мінекономіки.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3. Для цілей цього Порядку суб’єктом господарювання вважається суб’єкт </w:t>
      </w:r>
      <w:proofErr w:type="spellStart"/>
      <w:r>
        <w:rPr>
          <w:rFonts w:ascii="Times New Roman" w:hAnsi="Times New Roman"/>
          <w:sz w:val="28"/>
          <w:szCs w:val="28"/>
        </w:rPr>
        <w:t>мікропідприємництва</w:t>
      </w:r>
      <w:proofErr w:type="spellEnd"/>
      <w:r>
        <w:rPr>
          <w:rFonts w:ascii="Times New Roman" w:hAnsi="Times New Roman"/>
          <w:sz w:val="28"/>
          <w:szCs w:val="28"/>
        </w:rPr>
        <w:t xml:space="preserve"> чи малого підприємництва (фізична особа — підприємець або юридична особа) у значенні, наведеному в Господарському кодексі України, крім суб’єктів господарювання державного та комунального секторів економіки.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4. Розмір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який надається одному отримувачу, визначається відповідно до його запиту, але не менше 50 000 гривень та не перевищує: </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150 000 гривень у випадку зобов’язання отримувача створити одне робоче місце після отримання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та прийняття на нього працівника;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250 000 гривень у випадку зобов’язання отримувача створити не менше двох робочих місць після отримання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та прийняття на них працівників.</w:t>
      </w:r>
    </w:p>
    <w:p w:rsidR="004F7E9E" w:rsidRDefault="004F7E9E" w:rsidP="004F7E9E">
      <w:pPr>
        <w:pStyle w:val="a3"/>
        <w:jc w:val="both"/>
        <w:rPr>
          <w:rFonts w:ascii="Times New Roman" w:hAnsi="Times New Roman"/>
          <w:sz w:val="28"/>
          <w:szCs w:val="28"/>
        </w:rPr>
      </w:pPr>
      <w:bookmarkStart w:id="1" w:name="_heading=h.gjdgxs"/>
      <w:bookmarkEnd w:id="1"/>
      <w:r>
        <w:rPr>
          <w:rFonts w:ascii="Times New Roman" w:hAnsi="Times New Roman"/>
          <w:sz w:val="28"/>
          <w:szCs w:val="28"/>
        </w:rPr>
        <w:t xml:space="preserve">5. </w:t>
      </w:r>
      <w:proofErr w:type="spellStart"/>
      <w:r>
        <w:rPr>
          <w:rFonts w:ascii="Times New Roman" w:hAnsi="Times New Roman"/>
          <w:sz w:val="28"/>
          <w:szCs w:val="28"/>
        </w:rPr>
        <w:t>Мікрогранти</w:t>
      </w:r>
      <w:proofErr w:type="spellEnd"/>
      <w:r>
        <w:rPr>
          <w:rFonts w:ascii="Times New Roman" w:hAnsi="Times New Roman"/>
          <w:sz w:val="28"/>
          <w:szCs w:val="28"/>
        </w:rPr>
        <w:t xml:space="preserve"> надаються для покриття таких напрямів витрат, як:</w:t>
      </w:r>
    </w:p>
    <w:p w:rsidR="004F7E9E" w:rsidRDefault="004F7E9E" w:rsidP="004F7E9E">
      <w:pPr>
        <w:pStyle w:val="a3"/>
        <w:jc w:val="both"/>
        <w:rPr>
          <w:rFonts w:ascii="Times New Roman" w:hAnsi="Times New Roman"/>
          <w:sz w:val="28"/>
          <w:szCs w:val="28"/>
        </w:rPr>
      </w:pPr>
      <w:bookmarkStart w:id="2" w:name="bookmark=id.30j0zll"/>
      <w:bookmarkEnd w:id="2"/>
      <w:r>
        <w:rPr>
          <w:rFonts w:ascii="Times New Roman" w:hAnsi="Times New Roman"/>
          <w:sz w:val="28"/>
          <w:szCs w:val="28"/>
        </w:rPr>
        <w:t xml:space="preserve">придбання обладнання, необхідного для провадження господарської діяльності отримувачем, яке не підлягає відчуженню до виконання умов договору про надання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на створення або розвиток власного бізнесу (крім випадків відчуження внаслідок звернення стягнення на нього уповноваженим банком відповідно до договору застави);</w:t>
      </w:r>
    </w:p>
    <w:p w:rsidR="004F7E9E" w:rsidRDefault="004F7E9E" w:rsidP="004F7E9E">
      <w:pPr>
        <w:pStyle w:val="a3"/>
        <w:jc w:val="both"/>
        <w:rPr>
          <w:rFonts w:ascii="Times New Roman" w:hAnsi="Times New Roman"/>
          <w:sz w:val="28"/>
          <w:szCs w:val="28"/>
        </w:rPr>
      </w:pPr>
      <w:bookmarkStart w:id="3" w:name="bookmark=id.1fob9te"/>
      <w:bookmarkEnd w:id="3"/>
      <w:r>
        <w:rPr>
          <w:rFonts w:ascii="Times New Roman" w:hAnsi="Times New Roman"/>
          <w:sz w:val="28"/>
          <w:szCs w:val="28"/>
        </w:rPr>
        <w:t>закупівля сировини та матеріалів (деталі зазначаються отримувачем у бізнес-плані);</w:t>
      </w:r>
    </w:p>
    <w:p w:rsidR="004F7E9E" w:rsidRDefault="004F7E9E" w:rsidP="004F7E9E">
      <w:pPr>
        <w:pStyle w:val="a3"/>
        <w:jc w:val="both"/>
        <w:rPr>
          <w:rFonts w:ascii="Times New Roman" w:hAnsi="Times New Roman"/>
          <w:sz w:val="28"/>
          <w:szCs w:val="28"/>
        </w:rPr>
      </w:pPr>
      <w:bookmarkStart w:id="4" w:name="bookmark=id.3znysh7"/>
      <w:bookmarkEnd w:id="4"/>
      <w:r>
        <w:rPr>
          <w:rFonts w:ascii="Times New Roman" w:hAnsi="Times New Roman"/>
          <w:sz w:val="28"/>
          <w:szCs w:val="28"/>
        </w:rPr>
        <w:t xml:space="preserve">орендна плата за нежитлове приміщення (якщо така орендна плата становить не більше 25 відсотків розміру </w:t>
      </w:r>
      <w:proofErr w:type="spellStart"/>
      <w:r>
        <w:rPr>
          <w:rFonts w:ascii="Times New Roman" w:hAnsi="Times New Roman"/>
          <w:sz w:val="28"/>
          <w:szCs w:val="28"/>
        </w:rPr>
        <w:t>мікрогранту</w:t>
      </w:r>
      <w:proofErr w:type="spellEnd"/>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bookmarkStart w:id="5" w:name="bookmark=id.2et92p0"/>
      <w:bookmarkEnd w:id="5"/>
      <w:r>
        <w:rPr>
          <w:rFonts w:ascii="Times New Roman" w:hAnsi="Times New Roman"/>
          <w:sz w:val="28"/>
          <w:szCs w:val="28"/>
        </w:rPr>
        <w:t>лізинг обладнання (крім автомобілів, мотоциклів та інших  транспортних засобів особистого користування)</w:t>
      </w:r>
      <w:bookmarkStart w:id="6" w:name="bookmark=id.tyjcwt"/>
      <w:bookmarkEnd w:id="6"/>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bookmarkStart w:id="7" w:name="bookmark=id.4d34og8"/>
      <w:bookmarkStart w:id="8" w:name="bookmark=id.3dy6vkm"/>
      <w:bookmarkStart w:id="9" w:name="bookmark=id.1t3h5sf"/>
      <w:bookmarkEnd w:id="7"/>
      <w:bookmarkEnd w:id="8"/>
      <w:bookmarkEnd w:id="9"/>
      <w:r>
        <w:rPr>
          <w:rFonts w:ascii="Times New Roman" w:hAnsi="Times New Roman"/>
          <w:sz w:val="28"/>
          <w:szCs w:val="28"/>
        </w:rPr>
        <w:lastRenderedPageBreak/>
        <w:t xml:space="preserve">6. Надання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здійснюється Мінекономіки через АТ “Ощадбанк” (далі — уповноважений банк) на підставі рішень Державного центру зайнятості, включених до подання про надання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(далі — подання), відповідно до договору про взаємодію між Мінекономіки, уповноваженим банком та Державним центром зайнятості (далі — договір про взаємодію).</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7. Для виплати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отримувачам Мінекономіки відкриває в Казначействі реєстраційний рахунок загального фонду державного бюджету (далі — рахунок).</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8. Заяву на отримання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(далі — заява) подають отримувачі: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громадяни України;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юридичні особи, засновниками яких є тільки фізичні особи — громадяни України;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які станом на дату подання заяви фактично не перебувають та не провадять свою господарську діяльність на тимчасово окупованій території України (Автономна Республіка Крим та м. Севастополь) або на територіях, які включені до переліку територіальних громад, що розташовані в районі проведення воєнних (бойових) дій або які перебувають в тимчасовій окупації, оточенні (блокуванні), затвердженого </w:t>
      </w:r>
      <w:proofErr w:type="spellStart"/>
      <w:r>
        <w:rPr>
          <w:rFonts w:ascii="Times New Roman" w:hAnsi="Times New Roman"/>
          <w:sz w:val="28"/>
          <w:szCs w:val="28"/>
        </w:rPr>
        <w:t>Мінреінтеграції</w:t>
      </w:r>
      <w:proofErr w:type="spellEnd"/>
      <w:r>
        <w:rPr>
          <w:rFonts w:ascii="Times New Roman" w:hAnsi="Times New Roman"/>
          <w:sz w:val="28"/>
          <w:szCs w:val="28"/>
        </w:rPr>
        <w:t>, що підтверджується довідкою про взяття на облік внутрішньо переміщеної особи;</w:t>
      </w:r>
    </w:p>
    <w:p w:rsidR="004F7E9E" w:rsidRDefault="004F7E9E" w:rsidP="004F7E9E">
      <w:pPr>
        <w:pStyle w:val="a3"/>
        <w:jc w:val="both"/>
        <w:rPr>
          <w:rFonts w:ascii="Times New Roman" w:hAnsi="Times New Roman"/>
          <w:sz w:val="28"/>
          <w:szCs w:val="28"/>
        </w:rPr>
      </w:pPr>
      <w:bookmarkStart w:id="10" w:name="bookmark=id.2s8eyo1"/>
      <w:bookmarkEnd w:id="10"/>
      <w:r>
        <w:rPr>
          <w:rFonts w:ascii="Times New Roman" w:hAnsi="Times New Roman"/>
          <w:sz w:val="28"/>
          <w:szCs w:val="28"/>
        </w:rPr>
        <w:t>які не провадять господарську діяльність на території Російської Федерації та Республіки Білорусь;</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які не віднесені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 Закону України “Про санкції”;</w:t>
      </w:r>
    </w:p>
    <w:p w:rsidR="004F7E9E" w:rsidRDefault="004F7E9E" w:rsidP="004F7E9E">
      <w:pPr>
        <w:pStyle w:val="a3"/>
        <w:jc w:val="both"/>
        <w:rPr>
          <w:rFonts w:ascii="Times New Roman" w:hAnsi="Times New Roman"/>
          <w:sz w:val="28"/>
          <w:szCs w:val="28"/>
        </w:rPr>
      </w:pPr>
      <w:bookmarkStart w:id="11" w:name="bookmark=id.17dp8vu"/>
      <w:bookmarkEnd w:id="11"/>
      <w:r>
        <w:rPr>
          <w:rFonts w:ascii="Times New Roman" w:hAnsi="Times New Roman"/>
          <w:sz w:val="28"/>
          <w:szCs w:val="28"/>
        </w:rPr>
        <w:t>щодо яких не порушено справи про банкрутство та/або яких не визнано банкрутами, та/або які не перебувають на стадії ліквідації;</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які не мають заборгованості перед бюджетом;</w:t>
      </w:r>
    </w:p>
    <w:p w:rsidR="004F7E9E" w:rsidRDefault="004F7E9E" w:rsidP="004F7E9E">
      <w:pPr>
        <w:pStyle w:val="a3"/>
        <w:jc w:val="both"/>
        <w:rPr>
          <w:rFonts w:ascii="Times New Roman" w:hAnsi="Times New Roman"/>
          <w:sz w:val="28"/>
          <w:szCs w:val="28"/>
        </w:rPr>
      </w:pPr>
      <w:bookmarkStart w:id="12" w:name="bookmark=id.3rdcrjn"/>
      <w:bookmarkEnd w:id="12"/>
      <w:r>
        <w:rPr>
          <w:rFonts w:ascii="Times New Roman" w:hAnsi="Times New Roman"/>
          <w:sz w:val="28"/>
          <w:szCs w:val="28"/>
        </w:rPr>
        <w:t>щодо яких відсутнє рішення суду, яке набрало законної сили, про притягнення до кримінальної відповідальності за корупційне правопорушення.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Отримувачем може бути фізична особа, яка має намір розпочати підприємницьку діяльність і бере на себе зобов’язання зареєструватися фізичною особою — підприємцем або створити юридичну особу у випадку отримання позитивного рішення про надання </w:t>
      </w:r>
      <w:proofErr w:type="spellStart"/>
      <w:r>
        <w:rPr>
          <w:rFonts w:ascii="Times New Roman" w:hAnsi="Times New Roman"/>
          <w:sz w:val="28"/>
          <w:szCs w:val="28"/>
        </w:rPr>
        <w:t>мікрогранту</w:t>
      </w:r>
      <w:proofErr w:type="spellEnd"/>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bookmarkStart w:id="13" w:name="bookmark=id.lnxbz9"/>
      <w:bookmarkStart w:id="14" w:name="bookmark=id.26in1rg"/>
      <w:bookmarkEnd w:id="13"/>
      <w:bookmarkEnd w:id="14"/>
      <w:r>
        <w:rPr>
          <w:rFonts w:ascii="Times New Roman" w:hAnsi="Times New Roman"/>
          <w:sz w:val="28"/>
          <w:szCs w:val="28"/>
        </w:rPr>
        <w:lastRenderedPageBreak/>
        <w:t xml:space="preserve">9. </w:t>
      </w:r>
      <w:bookmarkStart w:id="15" w:name="bookmark=id.35nkun2"/>
      <w:bookmarkEnd w:id="15"/>
      <w:r>
        <w:rPr>
          <w:rFonts w:ascii="Times New Roman" w:hAnsi="Times New Roman"/>
          <w:sz w:val="28"/>
          <w:szCs w:val="28"/>
        </w:rPr>
        <w:t xml:space="preserve">Заява формується отримувачем особисто або у відділенні уповноваженого банку засобами Єдиного державного </w:t>
      </w:r>
      <w:proofErr w:type="spellStart"/>
      <w:r>
        <w:rPr>
          <w:rFonts w:ascii="Times New Roman" w:hAnsi="Times New Roman"/>
          <w:sz w:val="28"/>
          <w:szCs w:val="28"/>
        </w:rPr>
        <w:t>вебпорталу</w:t>
      </w:r>
      <w:proofErr w:type="spellEnd"/>
      <w:r>
        <w:rPr>
          <w:rFonts w:ascii="Times New Roman" w:hAnsi="Times New Roman"/>
          <w:sz w:val="28"/>
          <w:szCs w:val="28"/>
        </w:rPr>
        <w:t xml:space="preserve"> електронних послуг (далі — Портал Дія) після проходження ним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електронного підпису, та/або інших засобів ідентифікації, які дають змогу однозначно встановлювати особу отримувача.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Заява формується засобами Порталу Дія у довільній формі, придатній для сприйняття її змісту, відповідно до відомостей, визначених пунктами 10 і 11 цього Порядку. Формування заяви закінчується накладенням електронного підпису, що базується на кваліфікованому сертифікаті електронного підпису або електронної системи </w:t>
      </w:r>
      <w:proofErr w:type="spellStart"/>
      <w:r>
        <w:rPr>
          <w:rFonts w:ascii="Times New Roman" w:hAnsi="Times New Roman"/>
          <w:sz w:val="28"/>
          <w:szCs w:val="28"/>
        </w:rPr>
        <w:t>BankID</w:t>
      </w:r>
      <w:proofErr w:type="spellEnd"/>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Невід’ємним додатком до заяви є бізнес-план, форма якого визначається Мінекономіки.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Заяви, подані без бізнес-плану, не розглядаються.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Кінцевий строк подання заяв визначається Мінекономіки з урахуванням наявного фінансування, про що Мінекономіки інформує Державний центр зайнятості та уповноважений банк. Мінекономіки встановлює кінцеві строки подання заяв у межах календарного року та визначає граничну суму </w:t>
      </w:r>
      <w:proofErr w:type="spellStart"/>
      <w:r>
        <w:rPr>
          <w:rFonts w:ascii="Times New Roman" w:hAnsi="Times New Roman"/>
          <w:sz w:val="28"/>
          <w:szCs w:val="28"/>
        </w:rPr>
        <w:t>мікрогрантів</w:t>
      </w:r>
      <w:proofErr w:type="spellEnd"/>
      <w:r>
        <w:rPr>
          <w:rFonts w:ascii="Times New Roman" w:hAnsi="Times New Roman"/>
          <w:sz w:val="28"/>
          <w:szCs w:val="28"/>
        </w:rPr>
        <w:t>, що видаються на всі заяви, подані до одного кінцевого строку.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Уповноважений банк формує перелік поданих заяв, а також їх зберігання в електронній базі даних протягом трьох років з дня завершення прийому заяв.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Повторно подані заяви від одного отримувача не розглядаються.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10. У заяві для фізичних осіб, фізичних осіб — підприємців зазначаються такі відомості:</w:t>
      </w:r>
    </w:p>
    <w:p w:rsidR="004F7E9E" w:rsidRDefault="004F7E9E" w:rsidP="004F7E9E">
      <w:pPr>
        <w:pStyle w:val="a3"/>
        <w:jc w:val="both"/>
        <w:rPr>
          <w:rFonts w:ascii="Times New Roman" w:hAnsi="Times New Roman"/>
          <w:sz w:val="28"/>
          <w:szCs w:val="28"/>
        </w:rPr>
      </w:pPr>
      <w:bookmarkStart w:id="16" w:name="bookmark=id.1ksv4uv"/>
      <w:bookmarkEnd w:id="16"/>
      <w:r>
        <w:rPr>
          <w:rFonts w:ascii="Times New Roman" w:hAnsi="Times New Roman"/>
          <w:sz w:val="28"/>
          <w:szCs w:val="28"/>
        </w:rPr>
        <w:t>1) прізвище, власне ім’я, по батькові (за наявності);</w:t>
      </w:r>
    </w:p>
    <w:p w:rsidR="004F7E9E" w:rsidRDefault="004F7E9E" w:rsidP="004F7E9E">
      <w:pPr>
        <w:pStyle w:val="a3"/>
        <w:jc w:val="both"/>
        <w:rPr>
          <w:rFonts w:ascii="Times New Roman" w:hAnsi="Times New Roman"/>
          <w:sz w:val="28"/>
          <w:szCs w:val="28"/>
        </w:rPr>
      </w:pPr>
      <w:bookmarkStart w:id="17" w:name="bookmark=id.2jxsxqh"/>
      <w:bookmarkStart w:id="18" w:name="bookmark=id.44sinio"/>
      <w:bookmarkStart w:id="19" w:name="_heading=h.z337ya"/>
      <w:bookmarkEnd w:id="17"/>
      <w:bookmarkEnd w:id="18"/>
      <w:bookmarkEnd w:id="19"/>
      <w:r>
        <w:rPr>
          <w:rFonts w:ascii="Times New Roman" w:hAnsi="Times New Roman"/>
          <w:sz w:val="28"/>
          <w:szCs w:val="28"/>
        </w:rPr>
        <w:t>2)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податковому органу та мають відмітку в паспорті про право здійснювати платежі за серією та номером паспорта);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3) серія та/або номер паспорта;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4) дата народження;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5) контактні дані отримувача (номер телефону, адреса електронної пошти);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lastRenderedPageBreak/>
        <w:t xml:space="preserve">6) дата реєстрації у Єдиному державному реєстрі юридичних осіб, фізичних осіб — підприємців та громадських формувань (для —  фізичної особи — підприємця); </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7) адреса місця реєстрації (для  фізичної особи — підприємця); </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8) основний вид економічної діяльності (для  фізичної особи — підприємця); </w:t>
      </w:r>
    </w:p>
    <w:p w:rsidR="004F7E9E" w:rsidRDefault="004F7E9E" w:rsidP="004F7E9E">
      <w:pPr>
        <w:pStyle w:val="a3"/>
        <w:jc w:val="both"/>
        <w:rPr>
          <w:rFonts w:ascii="Times New Roman" w:hAnsi="Times New Roman"/>
          <w:sz w:val="28"/>
          <w:szCs w:val="28"/>
        </w:rPr>
      </w:pPr>
      <w:r>
        <w:rPr>
          <w:rFonts w:ascii="Times New Roman" w:hAnsi="Times New Roman"/>
          <w:sz w:val="28"/>
          <w:szCs w:val="28"/>
        </w:rPr>
        <w:t>9) задеклароване (зареєстроване) місце проживання (за наявності);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10) місцезнаходження (за наявності); </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11) відомості про освіту;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12) сімейний стан;</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13) відомості про дітей;</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14) кількість непрацюючих членів сім’ї (середньомісячні витрати);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15) стаж роботи за останнім  місцем роботи;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16) відмітка про належність отримувача та/або членів його сім’ї до політично значущих осіб;</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17) відомості про юридичну особу у разі, коли отримувач та/або члени його сім’ї  є засновниками юридичної особи: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найменування юридичної особи;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ідентифікаційний код юридичної особи згідно з Єдиним державним реєстром підприємств і організацій України;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18) відомості про корпорацію у разі, коли отримувач та/або члени його сім’ї  є засновниками юридичної особи: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найменування юридичної особи;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ідентифікаційний код юридичної особи згідно з Єдиним державним реєстром підприємств і організацій України;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19) місце провадження діяльності;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20) відомості про фінансові показники: </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розмір загального офіційного доходу (без урахування податку на додану вартість) за річною звітністю (гривень) (за наявності) (для  фізичної особи — підприємця);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вид доходу;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банківські послуги;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кредити в банках;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місячний платіж за всіма поточними кредитами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21) відомості про активи у власності;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lastRenderedPageBreak/>
        <w:t>22) сума запиту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23) щомісячна планова виручка;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24) запланована кількість новостворених робочих місць;</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25) очікувана рентабельність бізнесу (у відсотках);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26) відсоток власних коштів у проекті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27) загальна вартість проекту з урахуванням коштів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28) період окупності проекту (у роках);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29) потенційне число споживачів;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30) збитки, яких зазнали у зв’язку із веденням бойових дій;</w:t>
      </w:r>
    </w:p>
    <w:p w:rsidR="004F7E9E" w:rsidRDefault="004F7E9E" w:rsidP="004F7E9E">
      <w:pPr>
        <w:pStyle w:val="a3"/>
        <w:jc w:val="both"/>
        <w:rPr>
          <w:rFonts w:ascii="Times New Roman" w:hAnsi="Times New Roman"/>
          <w:sz w:val="28"/>
          <w:szCs w:val="28"/>
        </w:rPr>
      </w:pPr>
      <w:r>
        <w:rPr>
          <w:rFonts w:ascii="Times New Roman" w:hAnsi="Times New Roman"/>
          <w:sz w:val="28"/>
          <w:szCs w:val="28"/>
        </w:rPr>
        <w:t>31) цільове призначення;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32) ефект або вплив від отриманої допомоги на господарську діяльність, а також місцеву економіку/громаду в регіоні, в якому провадиться господарська діяльність;</w:t>
      </w:r>
    </w:p>
    <w:p w:rsidR="004F7E9E" w:rsidRDefault="004F7E9E" w:rsidP="004F7E9E">
      <w:pPr>
        <w:pStyle w:val="a3"/>
        <w:jc w:val="both"/>
        <w:rPr>
          <w:rFonts w:ascii="Times New Roman" w:hAnsi="Times New Roman"/>
          <w:sz w:val="28"/>
          <w:szCs w:val="28"/>
        </w:rPr>
      </w:pPr>
      <w:r>
        <w:rPr>
          <w:rFonts w:ascii="Times New Roman" w:hAnsi="Times New Roman"/>
          <w:sz w:val="28"/>
          <w:szCs w:val="28"/>
        </w:rPr>
        <w:t>33) запланований основний вид економічної діяльності (для фізичних осіб);</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34) відомості щодо раніше отриманої допомоги (за програмами підтримки </w:t>
      </w:r>
      <w:proofErr w:type="spellStart"/>
      <w:r>
        <w:rPr>
          <w:rFonts w:ascii="Times New Roman" w:hAnsi="Times New Roman"/>
          <w:sz w:val="28"/>
          <w:szCs w:val="28"/>
        </w:rPr>
        <w:t>релокації</w:t>
      </w:r>
      <w:proofErr w:type="spellEnd"/>
      <w:r>
        <w:rPr>
          <w:rFonts w:ascii="Times New Roman" w:hAnsi="Times New Roman"/>
          <w:sz w:val="28"/>
          <w:szCs w:val="28"/>
        </w:rPr>
        <w:t xml:space="preserve"> під час воєнного стану, державних  допомог або грантів), зокрема в рамках проектів міжнародної технічної допомоги під час воєнного стану (для фізичних осіб — підприємців).</w:t>
      </w:r>
    </w:p>
    <w:p w:rsidR="004F7E9E" w:rsidRDefault="004F7E9E" w:rsidP="004F7E9E">
      <w:pPr>
        <w:pStyle w:val="a3"/>
        <w:jc w:val="both"/>
        <w:rPr>
          <w:rFonts w:ascii="Times New Roman" w:hAnsi="Times New Roman"/>
          <w:sz w:val="28"/>
          <w:szCs w:val="28"/>
        </w:rPr>
      </w:pPr>
      <w:bookmarkStart w:id="20" w:name="bookmark=id.23ckvvd"/>
      <w:bookmarkEnd w:id="20"/>
      <w:r>
        <w:rPr>
          <w:rFonts w:ascii="Times New Roman" w:hAnsi="Times New Roman"/>
          <w:sz w:val="28"/>
          <w:szCs w:val="28"/>
        </w:rPr>
        <w:t>11. У заяві для отримувачів, які мають статус юридичних осіб, зазначаються такі відомості: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 прізвище, власне ім’я, по батькові (за наявності) керівника;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 контактні дані керівника (номер телефону, адреса електронної пошти)</w:t>
      </w:r>
      <w:bookmarkStart w:id="21" w:name="bookmark=id.ihv636"/>
      <w:bookmarkEnd w:id="21"/>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r>
        <w:rPr>
          <w:rFonts w:ascii="Times New Roman" w:hAnsi="Times New Roman"/>
          <w:sz w:val="28"/>
          <w:szCs w:val="28"/>
        </w:rPr>
        <w:t>3) найменування юридичної особи;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4) дата реєстрації;</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5) </w:t>
      </w:r>
      <w:bookmarkStart w:id="22" w:name="bookmark=id.32hioqz"/>
      <w:bookmarkEnd w:id="22"/>
      <w:r>
        <w:rPr>
          <w:rFonts w:ascii="Times New Roman" w:hAnsi="Times New Roman"/>
          <w:sz w:val="28"/>
          <w:szCs w:val="28"/>
        </w:rPr>
        <w:t>ідентифікаційний код юридичної особи згідно з Єдиним державним реєстром підприємств і організацій України;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6</w:t>
      </w:r>
      <w:bookmarkStart w:id="23" w:name="bookmark=id.1hmsyys"/>
      <w:bookmarkEnd w:id="23"/>
      <w:r>
        <w:rPr>
          <w:rFonts w:ascii="Times New Roman" w:hAnsi="Times New Roman"/>
          <w:sz w:val="28"/>
          <w:szCs w:val="28"/>
        </w:rPr>
        <w:t>) організаційно-правова форма;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7</w:t>
      </w:r>
      <w:bookmarkStart w:id="24" w:name="bookmark=id.41mghml"/>
      <w:bookmarkEnd w:id="24"/>
      <w:r>
        <w:rPr>
          <w:rFonts w:ascii="Times New Roman" w:hAnsi="Times New Roman"/>
          <w:sz w:val="28"/>
          <w:szCs w:val="28"/>
        </w:rPr>
        <w:t>) місцезнаходження юридичної особи;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8</w:t>
      </w:r>
      <w:bookmarkStart w:id="25" w:name="bookmark=id.2grqrue"/>
      <w:bookmarkEnd w:id="25"/>
      <w:r>
        <w:rPr>
          <w:rFonts w:ascii="Times New Roman" w:hAnsi="Times New Roman"/>
          <w:sz w:val="28"/>
          <w:szCs w:val="28"/>
        </w:rPr>
        <w:t>) основний вид економічної діяльності</w:t>
      </w:r>
      <w:bookmarkStart w:id="26" w:name="bookmark=id.vx1227"/>
      <w:bookmarkStart w:id="27" w:name="bookmark=id.3fwokq0"/>
      <w:bookmarkEnd w:id="26"/>
      <w:bookmarkEnd w:id="27"/>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r>
        <w:rPr>
          <w:rFonts w:ascii="Times New Roman" w:hAnsi="Times New Roman"/>
          <w:sz w:val="28"/>
          <w:szCs w:val="28"/>
        </w:rPr>
        <w:t>9) відомості про засновників;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10) відомості про кінцевих </w:t>
      </w:r>
      <w:proofErr w:type="spellStart"/>
      <w:r>
        <w:rPr>
          <w:rFonts w:ascii="Times New Roman" w:hAnsi="Times New Roman"/>
          <w:sz w:val="28"/>
          <w:szCs w:val="28"/>
        </w:rPr>
        <w:t>бенефіціарних</w:t>
      </w:r>
      <w:proofErr w:type="spellEnd"/>
      <w:r>
        <w:rPr>
          <w:rFonts w:ascii="Times New Roman" w:hAnsi="Times New Roman"/>
          <w:sz w:val="28"/>
          <w:szCs w:val="28"/>
        </w:rPr>
        <w:t xml:space="preserve"> власників;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11) відмітка про належність керівника юридичної особи, засновників, кінцевих </w:t>
      </w:r>
      <w:proofErr w:type="spellStart"/>
      <w:r>
        <w:rPr>
          <w:rFonts w:ascii="Times New Roman" w:hAnsi="Times New Roman"/>
          <w:sz w:val="28"/>
          <w:szCs w:val="28"/>
        </w:rPr>
        <w:t>бенефіціарних</w:t>
      </w:r>
      <w:proofErr w:type="spellEnd"/>
      <w:r>
        <w:rPr>
          <w:rFonts w:ascii="Times New Roman" w:hAnsi="Times New Roman"/>
          <w:sz w:val="28"/>
          <w:szCs w:val="28"/>
        </w:rPr>
        <w:t xml:space="preserve"> власників до політично значущих осіб;</w:t>
      </w:r>
    </w:p>
    <w:p w:rsidR="004F7E9E" w:rsidRDefault="004F7E9E" w:rsidP="004F7E9E">
      <w:pPr>
        <w:pStyle w:val="a3"/>
        <w:jc w:val="both"/>
        <w:rPr>
          <w:rFonts w:ascii="Times New Roman" w:hAnsi="Times New Roman"/>
          <w:sz w:val="28"/>
          <w:szCs w:val="28"/>
        </w:rPr>
      </w:pPr>
      <w:r>
        <w:rPr>
          <w:rFonts w:ascii="Times New Roman" w:hAnsi="Times New Roman"/>
          <w:sz w:val="28"/>
          <w:szCs w:val="28"/>
        </w:rPr>
        <w:lastRenderedPageBreak/>
        <w:t xml:space="preserve">12) відомості про юридичну особу  у разі, коли керівник, засновники, кінцеві </w:t>
      </w:r>
      <w:proofErr w:type="spellStart"/>
      <w:r>
        <w:rPr>
          <w:rFonts w:ascii="Times New Roman" w:hAnsi="Times New Roman"/>
          <w:sz w:val="28"/>
          <w:szCs w:val="28"/>
        </w:rPr>
        <w:t>бенефіціарні</w:t>
      </w:r>
      <w:proofErr w:type="spellEnd"/>
      <w:r>
        <w:rPr>
          <w:rFonts w:ascii="Times New Roman" w:hAnsi="Times New Roman"/>
          <w:sz w:val="28"/>
          <w:szCs w:val="28"/>
        </w:rPr>
        <w:t xml:space="preserve"> власники є засновниками інших юридичних осіб:</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найменування юридичної особи;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ідентифікаційний код юридичної особи згідно з Єдиним державним реєстром підприємств і організацій України;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13) відомості про корпорацію у разі, коли керівник, засновники, кінцеві </w:t>
      </w:r>
      <w:proofErr w:type="spellStart"/>
      <w:r>
        <w:rPr>
          <w:rFonts w:ascii="Times New Roman" w:hAnsi="Times New Roman"/>
          <w:sz w:val="28"/>
          <w:szCs w:val="28"/>
        </w:rPr>
        <w:t>бенефіціарні</w:t>
      </w:r>
      <w:proofErr w:type="spellEnd"/>
      <w:r>
        <w:rPr>
          <w:rFonts w:ascii="Times New Roman" w:hAnsi="Times New Roman"/>
          <w:sz w:val="28"/>
          <w:szCs w:val="28"/>
        </w:rPr>
        <w:t xml:space="preserve"> власники є засновниками корпорацій:</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найменування юридичної особи;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ідентифікаційний код юридичної особи згідно з Єдиним державним реєстром підприємств і організацій України;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14) місце провадження господарської діяльності;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15) відомості про фінансові показники: </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розмір загального офіційного доходу (без урахування податку на додану вартість) за річною звітністю (гривень) (за наявності);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вид доходу;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банківські послуги;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кредити в банках;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місячний платіж за всіма поточними кредитами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сума простроченої дебіторської заборгованості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сума простроченої кредиторської заборгованості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16) відомості про активи: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наявність активів у власності засновників/кінцевих </w:t>
      </w:r>
      <w:proofErr w:type="spellStart"/>
      <w:r>
        <w:rPr>
          <w:rFonts w:ascii="Times New Roman" w:hAnsi="Times New Roman"/>
          <w:sz w:val="28"/>
          <w:szCs w:val="28"/>
        </w:rPr>
        <w:t>бенефіціарних</w:t>
      </w:r>
      <w:proofErr w:type="spellEnd"/>
      <w:r>
        <w:rPr>
          <w:rFonts w:ascii="Times New Roman" w:hAnsi="Times New Roman"/>
          <w:sz w:val="28"/>
          <w:szCs w:val="28"/>
        </w:rPr>
        <w:t xml:space="preserve"> власників;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наявність активів для провадження господарської діяльності;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кількість найманих працівників;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сума запиту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17) щомісячна планова виручка;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18) запланована кількість найманих працівників;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19) очікувана рентабельність бізнесу (у відсотках);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20) відсоток власних коштів у проекті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21) загальна вартість проекту з урахуванням коштів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(у гривнях);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22) період окупності залучених коштів, років;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23) збитки, яких зазнали у зв’язку із веденням бойових дій;</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24) цільове призначення;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lastRenderedPageBreak/>
        <w:t xml:space="preserve">25) відомості щодо  раніше отриманої допомоги (за програмами підтримки </w:t>
      </w:r>
      <w:proofErr w:type="spellStart"/>
      <w:r>
        <w:rPr>
          <w:rFonts w:ascii="Times New Roman" w:hAnsi="Times New Roman"/>
          <w:sz w:val="28"/>
          <w:szCs w:val="28"/>
        </w:rPr>
        <w:t>релокації</w:t>
      </w:r>
      <w:proofErr w:type="spellEnd"/>
      <w:r>
        <w:rPr>
          <w:rFonts w:ascii="Times New Roman" w:hAnsi="Times New Roman"/>
          <w:sz w:val="28"/>
          <w:szCs w:val="28"/>
        </w:rPr>
        <w:t xml:space="preserve"> під час воєнного стану, державних  допомог або грантів), зокрема в рамках проектів міжнародної технічної допомоги під час воєнного стану.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12. </w:t>
      </w:r>
      <w:bookmarkStart w:id="28" w:name="bookmark=id.46r0co2"/>
      <w:bookmarkEnd w:id="28"/>
      <w:r>
        <w:rPr>
          <w:rFonts w:ascii="Times New Roman" w:hAnsi="Times New Roman"/>
          <w:sz w:val="28"/>
          <w:szCs w:val="28"/>
        </w:rPr>
        <w:t xml:space="preserve">Мінекономіки на підставі подання Державного центру зайнятості подає в Казначейство подання та платіжне доручення на перерахування коштів у сумі, зазначеній у поданні, для надання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з рахунка Мінекономіки на спеціальний рахунок, відкритий в уповноваженому банку відповідно до договору про взаємодію, для подальшого перерахування коштів уповноваженим банком на рахунок отримувача, відкритий в уповноваженому банку для забезпечення супроводу видаткових операцій отримувача (далі — рахунок отримувача).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Уповноважений банк в установленому порядку та строках перераховує кошти на рахунки отримувачів згідно з договором про взаємодію.</w:t>
      </w:r>
    </w:p>
    <w:p w:rsidR="004F7E9E" w:rsidRDefault="004F7E9E" w:rsidP="004F7E9E">
      <w:pPr>
        <w:pStyle w:val="a3"/>
        <w:jc w:val="both"/>
        <w:rPr>
          <w:rFonts w:ascii="Times New Roman" w:hAnsi="Times New Roman"/>
          <w:sz w:val="28"/>
          <w:szCs w:val="28"/>
        </w:rPr>
      </w:pPr>
      <w:proofErr w:type="spellStart"/>
      <w:r>
        <w:rPr>
          <w:rFonts w:ascii="Times New Roman" w:hAnsi="Times New Roman"/>
          <w:sz w:val="28"/>
          <w:szCs w:val="28"/>
        </w:rPr>
        <w:t>Мікрогрант</w:t>
      </w:r>
      <w:proofErr w:type="spellEnd"/>
      <w:r>
        <w:rPr>
          <w:rFonts w:ascii="Times New Roman" w:hAnsi="Times New Roman"/>
          <w:sz w:val="28"/>
          <w:szCs w:val="28"/>
        </w:rPr>
        <w:t xml:space="preserve"> надається у безготівковому вигляді.</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13. Відомості, що є необхідними для заяви, можуть бути отримані шляхом електронної інформаційної взаємодії з інформаційно-комунікаційними системами та публічними електронними реєстрами органів державної влади відповідно до умов договорів про взаємодію.</w:t>
      </w:r>
      <w:bookmarkStart w:id="29" w:name="bookmark=id.2lwamvv"/>
      <w:bookmarkEnd w:id="29"/>
    </w:p>
    <w:p w:rsidR="004F7E9E" w:rsidRDefault="004F7E9E" w:rsidP="004F7E9E">
      <w:pPr>
        <w:pStyle w:val="a3"/>
        <w:jc w:val="both"/>
        <w:rPr>
          <w:rFonts w:ascii="Times New Roman" w:hAnsi="Times New Roman"/>
          <w:sz w:val="28"/>
          <w:szCs w:val="28"/>
        </w:rPr>
      </w:pPr>
      <w:r>
        <w:rPr>
          <w:rFonts w:ascii="Times New Roman" w:hAnsi="Times New Roman"/>
          <w:sz w:val="28"/>
          <w:szCs w:val="28"/>
        </w:rPr>
        <w:t>14. Під час формування заяви засобами Порталу Дія відомості отримуються/підтверджуються з Єдиного державного реєстру юридичних осіб, фізичних осіб — підприємців та громадських формувань.</w:t>
      </w:r>
    </w:p>
    <w:p w:rsidR="004F7E9E" w:rsidRDefault="004F7E9E" w:rsidP="004F7E9E">
      <w:pPr>
        <w:pStyle w:val="a3"/>
        <w:jc w:val="both"/>
        <w:rPr>
          <w:rFonts w:ascii="Times New Roman" w:hAnsi="Times New Roman"/>
          <w:sz w:val="28"/>
          <w:szCs w:val="28"/>
        </w:rPr>
      </w:pPr>
      <w:bookmarkStart w:id="30" w:name="bookmark=id.111kx3o"/>
      <w:bookmarkEnd w:id="30"/>
      <w:r>
        <w:rPr>
          <w:rFonts w:ascii="Times New Roman" w:hAnsi="Times New Roman"/>
          <w:sz w:val="28"/>
          <w:szCs w:val="28"/>
        </w:rPr>
        <w:t>15. Відповідальність за недостовірність відомостей, що містяться в заяві, несе отримувач.</w:t>
      </w:r>
    </w:p>
    <w:p w:rsidR="004F7E9E" w:rsidRDefault="004F7E9E" w:rsidP="004F7E9E">
      <w:pPr>
        <w:pStyle w:val="a3"/>
        <w:jc w:val="both"/>
        <w:rPr>
          <w:rFonts w:ascii="Times New Roman" w:hAnsi="Times New Roman"/>
          <w:sz w:val="28"/>
          <w:szCs w:val="28"/>
        </w:rPr>
      </w:pPr>
      <w:bookmarkStart w:id="31" w:name="bookmark=id.3l18frh"/>
      <w:bookmarkEnd w:id="31"/>
      <w:r>
        <w:rPr>
          <w:rFonts w:ascii="Times New Roman" w:hAnsi="Times New Roman"/>
          <w:sz w:val="28"/>
          <w:szCs w:val="28"/>
        </w:rPr>
        <w:t>16. Після формування заяви засобами Порталу Дія заява блокується для редагування та передається: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уповноваженому банку відповідно до договору про інформаційну взаємодію між </w:t>
      </w:r>
      <w:proofErr w:type="spellStart"/>
      <w:r>
        <w:rPr>
          <w:rFonts w:ascii="Times New Roman" w:hAnsi="Times New Roman"/>
          <w:sz w:val="28"/>
          <w:szCs w:val="28"/>
        </w:rPr>
        <w:t>Мінцифри</w:t>
      </w:r>
      <w:proofErr w:type="spellEnd"/>
      <w:r>
        <w:rPr>
          <w:rFonts w:ascii="Times New Roman" w:hAnsi="Times New Roman"/>
          <w:sz w:val="28"/>
          <w:szCs w:val="28"/>
        </w:rPr>
        <w:t>, технічним адміністратором Порталу Дія та уповноваженим банком;</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Державному центру зайнятості шляхом надання доступу (підключення робочих місць) співробітників центру зайнятості до Порталу Дія.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Обмін інформацією здійснюється в електронній формі з дотриманням вимог Законів України “Про електронні довірчі послуги”, “Про захист персональних даних”, “Про захист інформації в інформаційно-комунікаційних системах”.</w:t>
      </w:r>
      <w:bookmarkStart w:id="32" w:name="bookmark=id.206ipza"/>
      <w:bookmarkEnd w:id="32"/>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17. Рішення про надання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приймається Державним центром зайнятості не пізніше ніж протягом десяти робочих днів з дня кінцевого строку подання заяв на основі інформації уповноваженого банку, яка включає оцінку бізнес-плану та результати перевірки ділової репутації отримувача, а також оцінку співбесіди з отримувачем, проведеної регіональними центрами зайнятості. Порядок обміну та передачі документів </w:t>
      </w:r>
      <w:r>
        <w:rPr>
          <w:rFonts w:ascii="Times New Roman" w:hAnsi="Times New Roman"/>
          <w:sz w:val="28"/>
          <w:szCs w:val="28"/>
        </w:rPr>
        <w:lastRenderedPageBreak/>
        <w:t>між уповноваженим банком та Державним центром зайнятості визначається договором про взаємодію.</w:t>
      </w:r>
    </w:p>
    <w:p w:rsidR="004F7E9E" w:rsidRDefault="004F7E9E" w:rsidP="004F7E9E">
      <w:pPr>
        <w:pStyle w:val="a3"/>
        <w:jc w:val="both"/>
        <w:rPr>
          <w:rFonts w:ascii="Times New Roman" w:hAnsi="Times New Roman"/>
          <w:sz w:val="28"/>
          <w:szCs w:val="28"/>
        </w:rPr>
      </w:pPr>
      <w:r>
        <w:rPr>
          <w:rFonts w:ascii="Times New Roman" w:hAnsi="Times New Roman"/>
          <w:sz w:val="28"/>
          <w:szCs w:val="28"/>
        </w:rPr>
        <w:t>18. Порядок проведення оцінювання заяв, критерії оцінювання та необхідна кількість балів (оцінка) для прийняття рішень Державним центром зайнятості визначаються Мінекономіки.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Якщо необхідну кількість балів (оцінку) набрали більше заяв, ніж визначена гранична сума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відповідно до абзацу п’ятого пункту</w:t>
      </w:r>
      <w:r>
        <w:rPr>
          <w:rFonts w:ascii="Times New Roman" w:hAnsi="Times New Roman"/>
          <w:sz w:val="28"/>
          <w:szCs w:val="28"/>
          <w:lang w:val="ru-RU"/>
        </w:rPr>
        <w:t> </w:t>
      </w:r>
      <w:r>
        <w:rPr>
          <w:rFonts w:ascii="Times New Roman" w:hAnsi="Times New Roman"/>
          <w:sz w:val="28"/>
          <w:szCs w:val="28"/>
        </w:rPr>
        <w:t xml:space="preserve">9 цього Порядку, </w:t>
      </w:r>
      <w:proofErr w:type="spellStart"/>
      <w:r>
        <w:rPr>
          <w:rFonts w:ascii="Times New Roman" w:hAnsi="Times New Roman"/>
          <w:sz w:val="28"/>
          <w:szCs w:val="28"/>
        </w:rPr>
        <w:t>мікрогранти</w:t>
      </w:r>
      <w:proofErr w:type="spellEnd"/>
      <w:r>
        <w:rPr>
          <w:rFonts w:ascii="Times New Roman" w:hAnsi="Times New Roman"/>
          <w:sz w:val="28"/>
          <w:szCs w:val="28"/>
        </w:rPr>
        <w:t xml:space="preserve"> надаються отримувачам з найбільшою кількістю балів. Решта заявок автоматично розглядається у наступному періоді в межах встановленого кінцевого строку. Повторне оцінювання таких заяв не проводиться, для цілей рішення про видачу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використовується перша оцінка заяви.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19. Оцінка заяв отримувачів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проводиться на постійній основі відповідно до переліку заяв на отримання </w:t>
      </w:r>
      <w:proofErr w:type="spellStart"/>
      <w:r>
        <w:rPr>
          <w:rFonts w:ascii="Times New Roman" w:hAnsi="Times New Roman"/>
          <w:sz w:val="28"/>
          <w:szCs w:val="28"/>
        </w:rPr>
        <w:t>мікрогранту</w:t>
      </w:r>
      <w:proofErr w:type="spellEnd"/>
      <w:r>
        <w:rPr>
          <w:rFonts w:ascii="Times New Roman" w:hAnsi="Times New Roman"/>
          <w:sz w:val="28"/>
          <w:szCs w:val="28"/>
        </w:rPr>
        <w:t>, сформованого уповноваженим банком.</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Після формування переліку заяв, перевірки ділової репутації та оцінки бізнес-плану уповноважений банк надсилає їх до Державного центру зайнятості в електронній формі для подальшої передачі регіональному центру зайнятості. Регіональний центр зайнятості проводить особисту співбесіду з отримувачем та надсилає результати співбесіди до Державного центру зайнятості. Державний центр зайнятості забезпечує прийняття рішень про надання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та інформування отримувачів про прийняте рішення відповідно до договору про взаємодію.</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Уповноважений банк засобами програмного забезпечення з використанням інформаційних джерел, що ним використовуються у своїй діяльності, проводить перевірку ділової репутації та оцінювання бізнес-плану отримувача.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Перевірка ділової репутації проводиться за критеріями, зазначеними у договорі про взаємодію, зокрема: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корупційні дії;</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наявність судових справ, зокрема кримінальних;</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відкриті виконавчі та кримінальні провадження;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наявність справи про банкрутство;</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наявність податкового боргу;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арешт майна;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шахрайство;</w:t>
      </w:r>
    </w:p>
    <w:p w:rsidR="004F7E9E" w:rsidRDefault="004F7E9E" w:rsidP="004F7E9E">
      <w:pPr>
        <w:pStyle w:val="a3"/>
        <w:jc w:val="both"/>
        <w:rPr>
          <w:rFonts w:ascii="Times New Roman" w:hAnsi="Times New Roman"/>
          <w:sz w:val="28"/>
          <w:szCs w:val="28"/>
        </w:rPr>
      </w:pPr>
      <w:proofErr w:type="spellStart"/>
      <w:r>
        <w:rPr>
          <w:rFonts w:ascii="Times New Roman" w:hAnsi="Times New Roman"/>
          <w:sz w:val="28"/>
          <w:szCs w:val="28"/>
        </w:rPr>
        <w:t>санкційні</w:t>
      </w:r>
      <w:proofErr w:type="spellEnd"/>
      <w:r>
        <w:rPr>
          <w:rFonts w:ascii="Times New Roman" w:hAnsi="Times New Roman"/>
          <w:sz w:val="28"/>
          <w:szCs w:val="28"/>
        </w:rPr>
        <w:t xml:space="preserve"> списки.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Оцінювання бізнес-плану отримувача здійснюється за критеріями, зазначеними у договорі про взаємодію, зокрема: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lastRenderedPageBreak/>
        <w:t>кредитна історія;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власний внесок (якщо такий внесок передбачений бізнес-планом);</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наявність власних активів;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досвід ведення бізнесу;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життєздатність бізнес-ідеї;</w:t>
      </w:r>
    </w:p>
    <w:p w:rsidR="004F7E9E" w:rsidRDefault="004F7E9E" w:rsidP="004F7E9E">
      <w:pPr>
        <w:pStyle w:val="a3"/>
        <w:jc w:val="both"/>
        <w:rPr>
          <w:rFonts w:ascii="Times New Roman" w:hAnsi="Times New Roman"/>
          <w:sz w:val="28"/>
          <w:szCs w:val="28"/>
        </w:rPr>
      </w:pPr>
      <w:r>
        <w:rPr>
          <w:rFonts w:ascii="Times New Roman" w:hAnsi="Times New Roman"/>
          <w:sz w:val="28"/>
          <w:szCs w:val="28"/>
        </w:rPr>
        <w:t>реалістичність бізнес-плану.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Державний центр зайнятості має право відмовити отримувачу у наданні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з таких підстав: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непрозорі або сумнівні очікувані результати реалізації (виконання) бізнес-плану;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негативна ділова репутація;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подання заяви на отримання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згідно з цим Порядком більше одного разу;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отримання з відкритих джерел та реєстрів додаткових фактів/інформації щодо негативної ділової репутації отримувача, зокрема фактів приховування інформації;</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відмова від співбесіди;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невідповідність поданих документів нормам законодавства України.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У разі відсутності підстав для відмови у наданні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Державний центр зайнятості ухвалює рішення, яке оформлюється наказом,  про надання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отримувачам, які набрали найбільшу сукупну кількість балів, у межах наявної граничної суми </w:t>
      </w:r>
      <w:proofErr w:type="spellStart"/>
      <w:r>
        <w:rPr>
          <w:rFonts w:ascii="Times New Roman" w:hAnsi="Times New Roman"/>
          <w:sz w:val="28"/>
          <w:szCs w:val="28"/>
        </w:rPr>
        <w:t>мікрогрантів</w:t>
      </w:r>
      <w:proofErr w:type="spellEnd"/>
      <w:r>
        <w:rPr>
          <w:rFonts w:ascii="Times New Roman" w:hAnsi="Times New Roman"/>
          <w:sz w:val="28"/>
          <w:szCs w:val="28"/>
        </w:rPr>
        <w:t>, визначеної Мінекономіки.</w:t>
      </w:r>
    </w:p>
    <w:p w:rsidR="004F7E9E" w:rsidRDefault="004F7E9E" w:rsidP="004F7E9E">
      <w:pPr>
        <w:pStyle w:val="a3"/>
        <w:jc w:val="both"/>
        <w:rPr>
          <w:rFonts w:ascii="Times New Roman" w:hAnsi="Times New Roman"/>
          <w:sz w:val="28"/>
          <w:szCs w:val="28"/>
        </w:rPr>
      </w:pPr>
      <w:bookmarkStart w:id="33" w:name="_heading=h.4k668n3"/>
      <w:bookmarkEnd w:id="33"/>
      <w:r>
        <w:rPr>
          <w:rFonts w:ascii="Times New Roman" w:hAnsi="Times New Roman"/>
          <w:sz w:val="28"/>
          <w:szCs w:val="28"/>
        </w:rPr>
        <w:t xml:space="preserve">Про прийняте рішення щодо надання або відмови в наданні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отримувачу повідомляють регіональні центри зайнятості шляхом надсилання листа на адресу електронної пошти, зазначеної в заяві.</w:t>
      </w:r>
      <w:bookmarkStart w:id="34" w:name="bookmark=id.2zbgiuw"/>
      <w:bookmarkEnd w:id="34"/>
    </w:p>
    <w:p w:rsidR="004F7E9E" w:rsidRDefault="004F7E9E" w:rsidP="004F7E9E">
      <w:pPr>
        <w:pStyle w:val="a3"/>
        <w:jc w:val="both"/>
        <w:rPr>
          <w:rFonts w:ascii="Times New Roman" w:hAnsi="Times New Roman"/>
          <w:sz w:val="28"/>
          <w:szCs w:val="28"/>
        </w:rPr>
      </w:pPr>
      <w:r>
        <w:rPr>
          <w:rFonts w:ascii="Times New Roman" w:hAnsi="Times New Roman"/>
          <w:sz w:val="28"/>
          <w:szCs w:val="28"/>
        </w:rPr>
        <w:t>Державний центр зайнятості передає подання до Мінекономіки для забезпечення перерахування коштів уповноваженому банку, а уповноваженому банку — інформацію про прийняті рішення.</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20. Для отримання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отримувач підписує договір про надання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(далі — договір </w:t>
      </w:r>
      <w:proofErr w:type="spellStart"/>
      <w:r>
        <w:rPr>
          <w:rFonts w:ascii="Times New Roman" w:hAnsi="Times New Roman"/>
          <w:sz w:val="28"/>
          <w:szCs w:val="28"/>
        </w:rPr>
        <w:t>мікрогранту</w:t>
      </w:r>
      <w:proofErr w:type="spellEnd"/>
      <w:r>
        <w:rPr>
          <w:rFonts w:ascii="Times New Roman" w:hAnsi="Times New Roman"/>
          <w:sz w:val="28"/>
          <w:szCs w:val="28"/>
        </w:rPr>
        <w:t>) за формою, встановленою Мінекономіки.</w:t>
      </w:r>
    </w:p>
    <w:p w:rsidR="004F7E9E" w:rsidRDefault="004F7E9E" w:rsidP="004F7E9E">
      <w:pPr>
        <w:pStyle w:val="a3"/>
        <w:jc w:val="both"/>
        <w:rPr>
          <w:rFonts w:ascii="Times New Roman" w:hAnsi="Times New Roman"/>
          <w:sz w:val="28"/>
          <w:szCs w:val="28"/>
        </w:rPr>
      </w:pPr>
      <w:bookmarkStart w:id="35" w:name="_heading=h.1egqt2p"/>
      <w:bookmarkEnd w:id="35"/>
      <w:r>
        <w:rPr>
          <w:rFonts w:ascii="Times New Roman" w:hAnsi="Times New Roman"/>
          <w:sz w:val="28"/>
          <w:szCs w:val="28"/>
        </w:rPr>
        <w:t xml:space="preserve">У договорі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обов’язково зазначаються цілі використання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з переліку, визначеного пунктом 5 цього Порядку, умови, невиконання або неналежне виконання яких може призвести до повернення отримувачем отриманих коштів.</w:t>
      </w:r>
    </w:p>
    <w:p w:rsidR="004F7E9E" w:rsidRDefault="004F7E9E" w:rsidP="004F7E9E">
      <w:pPr>
        <w:pStyle w:val="a3"/>
        <w:jc w:val="both"/>
        <w:rPr>
          <w:rFonts w:ascii="Times New Roman" w:hAnsi="Times New Roman"/>
          <w:sz w:val="28"/>
          <w:szCs w:val="28"/>
        </w:rPr>
      </w:pPr>
      <w:r>
        <w:rPr>
          <w:rFonts w:ascii="Times New Roman" w:hAnsi="Times New Roman"/>
          <w:sz w:val="28"/>
          <w:szCs w:val="28"/>
        </w:rPr>
        <w:lastRenderedPageBreak/>
        <w:t xml:space="preserve">Обов’язковою умовою договору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є створення робочих місць залежно від розміру </w:t>
      </w:r>
      <w:proofErr w:type="spellStart"/>
      <w:r>
        <w:rPr>
          <w:rFonts w:ascii="Times New Roman" w:hAnsi="Times New Roman"/>
          <w:sz w:val="28"/>
          <w:szCs w:val="28"/>
        </w:rPr>
        <w:t>мікрогранту</w:t>
      </w:r>
      <w:proofErr w:type="spellEnd"/>
      <w:r>
        <w:rPr>
          <w:rFonts w:ascii="Times New Roman" w:hAnsi="Times New Roman"/>
          <w:sz w:val="28"/>
          <w:szCs w:val="28"/>
        </w:rPr>
        <w:t>, визначеного пунктом 3 цього Порядку.</w:t>
      </w:r>
    </w:p>
    <w:p w:rsidR="004F7E9E" w:rsidRDefault="004F7E9E" w:rsidP="004F7E9E">
      <w:pPr>
        <w:pStyle w:val="a3"/>
        <w:jc w:val="both"/>
        <w:rPr>
          <w:rFonts w:ascii="Times New Roman" w:hAnsi="Times New Roman"/>
          <w:sz w:val="28"/>
          <w:szCs w:val="28"/>
        </w:rPr>
      </w:pPr>
      <w:bookmarkStart w:id="36" w:name="_heading=h.3ygebqi"/>
      <w:bookmarkEnd w:id="36"/>
      <w:r>
        <w:rPr>
          <w:rFonts w:ascii="Times New Roman" w:hAnsi="Times New Roman"/>
          <w:sz w:val="28"/>
          <w:szCs w:val="28"/>
        </w:rPr>
        <w:t xml:space="preserve">У разі невиконання обов’язкової умови договору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отримувач зобов’язаний повернути різницю між сумою отриманого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та фактично сплаченими податками, зборами (обов’язковими </w:t>
      </w:r>
      <w:proofErr w:type="spellStart"/>
      <w:r>
        <w:rPr>
          <w:rFonts w:ascii="Times New Roman" w:hAnsi="Times New Roman"/>
          <w:sz w:val="28"/>
          <w:szCs w:val="28"/>
        </w:rPr>
        <w:t>платежами</w:t>
      </w:r>
      <w:proofErr w:type="spellEnd"/>
      <w:r>
        <w:rPr>
          <w:rFonts w:ascii="Times New Roman" w:hAnsi="Times New Roman"/>
          <w:sz w:val="28"/>
          <w:szCs w:val="28"/>
        </w:rPr>
        <w:t>), єдиним внеском на загальнообов’язкове державне соціальне страхування. Відповідне рішення приймається регіональним центром зайнятості. Отримувач здійснює повернення зазначеної різниці уповноваженому банку не пізніше останнього робочого дня місяця, у якому спливає трирічний строк реалізації проекту. Уповноважений банк протягом п’яти робочих днів повертає зазначені кошти на рахунок Мінекономіки, відкритий в Казначействі, для подальшого їх перерахування до Державного бюджету України в установленому порядку. Неповернуті отримувачем кошти стягуються з нього відповідно до законодавства.</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21. Державний центр зайнятості через регіональні, міські, районні, міськрайонні центри зайнятості, філії регіональних центрів зайнятості здійснює моніторинг та контроль виконання умов договору шляхом періодичних виїзних оглядів місця провадження господарської діяльності отримувача протягом трьох років з дня надання йому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або до повного виконання обов’язкової умови договору, визначеної абзацом третім пункту 20 цього Порядку.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Для здійснення моніторингу та контролю за додержанням умов договору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отримувачем центр зайнятості може залучати відповідні центральні та/або місцеві органи влади.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У разі неможливості встановлення факту або встановлення факту нецільового використання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під час моніторингу та контролю за додержанням умов договору </w:t>
      </w:r>
      <w:proofErr w:type="spellStart"/>
      <w:r>
        <w:rPr>
          <w:rFonts w:ascii="Times New Roman" w:hAnsi="Times New Roman"/>
          <w:sz w:val="28"/>
          <w:szCs w:val="28"/>
        </w:rPr>
        <w:t>мікрогранту</w:t>
      </w:r>
      <w:proofErr w:type="spellEnd"/>
      <w:r>
        <w:rPr>
          <w:rFonts w:ascii="Times New Roman" w:hAnsi="Times New Roman"/>
          <w:sz w:val="28"/>
          <w:szCs w:val="28"/>
        </w:rPr>
        <w:t>, який здійснюється центром зайнятості, витрачені кошти протягом одного місяця повертаються отримувачем до уповноваженого банку, який протягом п’яти робочих днів повертає зазначені кошти на рахунок Мінекономіки, відкритий в Казначействі, для подальшого їх перерахування до Державного бюджету України в установленому порядку. Неповернуті отримувачем кошти стягуються з нього в установленому порядку.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Державний центр зайнятості щокварталу до 20 числа місяця, наступного за звітним періодом, подає Мінекономіки звіт щодо виконання отримувачами умов договору, який містить інформацію про кількість отримувачів, суми наданих відповідно до цього Порядку </w:t>
      </w:r>
      <w:proofErr w:type="spellStart"/>
      <w:r>
        <w:rPr>
          <w:rFonts w:ascii="Times New Roman" w:hAnsi="Times New Roman"/>
          <w:sz w:val="28"/>
          <w:szCs w:val="28"/>
        </w:rPr>
        <w:t>мікрогрантів</w:t>
      </w:r>
      <w:proofErr w:type="spellEnd"/>
      <w:r>
        <w:rPr>
          <w:rFonts w:ascii="Times New Roman" w:hAnsi="Times New Roman"/>
          <w:sz w:val="28"/>
          <w:szCs w:val="28"/>
        </w:rPr>
        <w:t xml:space="preserve">, кількість найманих працівників, а також суми сплачених податків, зборів (обов’язкових платежів), єдиного внеску на загальнообов’язкове державне соціальне страхування отримувачами, яким надано </w:t>
      </w:r>
      <w:proofErr w:type="spellStart"/>
      <w:r>
        <w:rPr>
          <w:rFonts w:ascii="Times New Roman" w:hAnsi="Times New Roman"/>
          <w:sz w:val="28"/>
          <w:szCs w:val="28"/>
        </w:rPr>
        <w:t>мікрогранти</w:t>
      </w:r>
      <w:proofErr w:type="spellEnd"/>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Для реалізації умов цього Порядку інформація щодо сум сплачених податків, зборів (обов’язкових платежів), єдиного внеску на </w:t>
      </w:r>
      <w:r>
        <w:rPr>
          <w:rFonts w:ascii="Times New Roman" w:hAnsi="Times New Roman"/>
          <w:sz w:val="28"/>
          <w:szCs w:val="28"/>
        </w:rPr>
        <w:lastRenderedPageBreak/>
        <w:t>загальнообов’язкове державне соціальне страхування отримувачами подається ДПС за запитом Державного центру зайнятості. Форма подання такої інформації встановлюється Державним центром зайнятості разом з ДПС.</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22. Центр зайнятості надає інформаційну підтримку з питань провадження підприємницької діяльності та здійснює супровід отримувачів, які отримали </w:t>
      </w:r>
      <w:proofErr w:type="spellStart"/>
      <w:r>
        <w:rPr>
          <w:rFonts w:ascii="Times New Roman" w:hAnsi="Times New Roman"/>
          <w:sz w:val="28"/>
          <w:szCs w:val="28"/>
        </w:rPr>
        <w:t>мікрогрант</w:t>
      </w:r>
      <w:proofErr w:type="spellEnd"/>
      <w:r>
        <w:rPr>
          <w:rFonts w:ascii="Times New Roman" w:hAnsi="Times New Roman"/>
          <w:sz w:val="28"/>
          <w:szCs w:val="28"/>
        </w:rPr>
        <w:t xml:space="preserve">, шляхом проведення регулярного навчання, організації груп взаємної підтримки для отримувачів тощо. Для організації навчання отримувачів центр зайнятості залучає представників Держмитслужби, ДПС, </w:t>
      </w:r>
      <w:proofErr w:type="spellStart"/>
      <w:r>
        <w:rPr>
          <w:rFonts w:ascii="Times New Roman" w:hAnsi="Times New Roman"/>
          <w:sz w:val="28"/>
          <w:szCs w:val="28"/>
        </w:rPr>
        <w:t>Держпраці</w:t>
      </w:r>
      <w:proofErr w:type="spellEnd"/>
      <w:r>
        <w:rPr>
          <w:rFonts w:ascii="Times New Roman" w:hAnsi="Times New Roman"/>
          <w:sz w:val="28"/>
          <w:szCs w:val="28"/>
        </w:rPr>
        <w:t>, міжнародні організації тощо для надання відповідних консультацій.</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23. У разі невикористання отримувачем протягом шести місяців з дати отримання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або використання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не в повному обсязі протягом зазначеного періоду невикористані кошти протягом трьох операційних днів після завершення цього строку повертаються уповноваженим банком на рахунок Мінекономіки, відкритий в Казначействі, для подальшого перерахування до Державного бюджету України.</w:t>
      </w:r>
    </w:p>
    <w:p w:rsidR="004F7E9E" w:rsidRDefault="004F7E9E" w:rsidP="004F7E9E">
      <w:pPr>
        <w:pStyle w:val="a3"/>
        <w:jc w:val="both"/>
        <w:rPr>
          <w:rFonts w:ascii="Times New Roman" w:hAnsi="Times New Roman"/>
          <w:sz w:val="28"/>
          <w:szCs w:val="28"/>
        </w:rPr>
      </w:pPr>
      <w:bookmarkStart w:id="37" w:name="_heading=h.2dlolyb"/>
      <w:bookmarkEnd w:id="37"/>
      <w:r>
        <w:rPr>
          <w:rFonts w:ascii="Times New Roman" w:hAnsi="Times New Roman"/>
          <w:sz w:val="28"/>
          <w:szCs w:val="28"/>
        </w:rPr>
        <w:t xml:space="preserve">24. Для оплати витрат на цілі, визначені пунктом 5 цього Порядку та встановлені в договорі </w:t>
      </w:r>
      <w:proofErr w:type="spellStart"/>
      <w:r>
        <w:rPr>
          <w:rFonts w:ascii="Times New Roman" w:hAnsi="Times New Roman"/>
          <w:sz w:val="28"/>
          <w:szCs w:val="28"/>
        </w:rPr>
        <w:t>мікрогранту</w:t>
      </w:r>
      <w:proofErr w:type="spellEnd"/>
      <w:r>
        <w:rPr>
          <w:rFonts w:ascii="Times New Roman" w:hAnsi="Times New Roman"/>
          <w:sz w:val="28"/>
          <w:szCs w:val="28"/>
        </w:rPr>
        <w:t>, отримувач подає до уповноваженого банку рахунок-фактуру (рахунок, квитанцію, накладну тощо) та договір, укладений між отримувачем і постачальником (продавцем) обладнання, сировини та матеріалів тощо.</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Оплата витрат на закупівлю обладнання та матеріалів проводиться уповноваженим банком на цілі, визначені пунктом 5 цього Порядку та встановлені в договорі </w:t>
      </w:r>
      <w:proofErr w:type="spellStart"/>
      <w:r>
        <w:rPr>
          <w:rFonts w:ascii="Times New Roman" w:hAnsi="Times New Roman"/>
          <w:sz w:val="28"/>
          <w:szCs w:val="28"/>
        </w:rPr>
        <w:t>мікрогранту</w:t>
      </w:r>
      <w:proofErr w:type="spellEnd"/>
      <w:r>
        <w:rPr>
          <w:rFonts w:ascii="Times New Roman" w:hAnsi="Times New Roman"/>
          <w:sz w:val="28"/>
          <w:szCs w:val="28"/>
        </w:rPr>
        <w:t>, на підставі документів, зазначених в абзаці першому цього пункту.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У разі збільшення вартості предмета договору з постачальником (продавцем) може бути проведена доплата суми коштів у межах граничного розміру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отримувача згідно з рішенням про надання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У такому випадку отримувач вносить відповідні зміни до бізнес-плану, надсилає його на погодження до уповноваженого банку та до відповідного регіонального центру зайнятості. Відповідні зміни викладаються в додатковій угоді до договору </w:t>
      </w:r>
      <w:proofErr w:type="spellStart"/>
      <w:r>
        <w:rPr>
          <w:rFonts w:ascii="Times New Roman" w:hAnsi="Times New Roman"/>
          <w:sz w:val="28"/>
          <w:szCs w:val="28"/>
        </w:rPr>
        <w:t>мікрогранту</w:t>
      </w:r>
      <w:proofErr w:type="spellEnd"/>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Оплата витрат може бути проведена декільком постачальникам (продавцям) у межах граничного розміру </w:t>
      </w:r>
      <w:proofErr w:type="spellStart"/>
      <w:r>
        <w:rPr>
          <w:rFonts w:ascii="Times New Roman" w:hAnsi="Times New Roman"/>
          <w:sz w:val="28"/>
          <w:szCs w:val="28"/>
        </w:rPr>
        <w:t>мікрогранту</w:t>
      </w:r>
      <w:proofErr w:type="spellEnd"/>
      <w:r>
        <w:rPr>
          <w:rFonts w:ascii="Times New Roman" w:hAnsi="Times New Roman"/>
          <w:sz w:val="28"/>
          <w:szCs w:val="28"/>
        </w:rPr>
        <w:t>.</w:t>
      </w:r>
    </w:p>
    <w:p w:rsidR="004F7E9E" w:rsidRDefault="004F7E9E" w:rsidP="004F7E9E">
      <w:pPr>
        <w:pStyle w:val="a3"/>
        <w:jc w:val="both"/>
        <w:rPr>
          <w:rFonts w:ascii="Times New Roman" w:hAnsi="Times New Roman"/>
          <w:sz w:val="28"/>
          <w:szCs w:val="28"/>
        </w:rPr>
      </w:pPr>
      <w:r>
        <w:rPr>
          <w:rFonts w:ascii="Times New Roman" w:hAnsi="Times New Roman"/>
          <w:sz w:val="28"/>
          <w:szCs w:val="28"/>
        </w:rPr>
        <w:t xml:space="preserve">25. Надання </w:t>
      </w:r>
      <w:proofErr w:type="spellStart"/>
      <w:r>
        <w:rPr>
          <w:rFonts w:ascii="Times New Roman" w:hAnsi="Times New Roman"/>
          <w:sz w:val="28"/>
          <w:szCs w:val="28"/>
        </w:rPr>
        <w:t>мікрогранту</w:t>
      </w:r>
      <w:proofErr w:type="spellEnd"/>
      <w:r>
        <w:rPr>
          <w:rFonts w:ascii="Times New Roman" w:hAnsi="Times New Roman"/>
          <w:sz w:val="28"/>
          <w:szCs w:val="28"/>
        </w:rPr>
        <w:t xml:space="preserve"> отримувачу, передбаченого цим Порядком, може здійснюватися у поєднанні з наданням державної підтримки, передбаченої Порядком надання фінансової державної підтримки суб’єктам господарювання, затвердженим постановою Кабінету Міністрів України від 24 січня 2020 р. № 28 “Про надання фінансової державної підтримки” (Офіційний вісник України, 2020 р., № 12, ст. 489).</w:t>
      </w:r>
    </w:p>
    <w:p w:rsidR="004F7E9E" w:rsidRDefault="004F7E9E" w:rsidP="004F7E9E">
      <w:pPr>
        <w:pStyle w:val="a3"/>
        <w:jc w:val="both"/>
        <w:rPr>
          <w:rFonts w:ascii="Times New Roman" w:hAnsi="Times New Roman"/>
          <w:sz w:val="28"/>
          <w:szCs w:val="28"/>
        </w:rPr>
      </w:pPr>
      <w:r>
        <w:rPr>
          <w:rFonts w:ascii="Times New Roman" w:hAnsi="Times New Roman"/>
          <w:sz w:val="28"/>
          <w:szCs w:val="28"/>
        </w:rPr>
        <w:lastRenderedPageBreak/>
        <w:t>26. Відображення у первинному та бухгалтерському обліку інформації про отримані (створені) оборотні і необоротні активи, а також відкриття рахунків, реєстрація і облік бюджетних зобов’язань в органах Казначейства та операції, пов’язані з використанням бюджетних коштів, здійснюються у порядку, встановленому законодавством.</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27. Погашення бюджетної кредиторської заборгованості, зареєстрованої в органах Казначейства, та проведення операцій, пов’язаних з використанням бюджетних коштів, здійснюється в установленому законодавством порядку.</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28. Мінекономіки після закінчення бюджетного періоду подає Мінфіну інформацію про стан виконання результативних показників з результатами аналізу, поясненнями, висновками щодо їх виконання у визначені законодавством строки.</w:t>
      </w:r>
    </w:p>
    <w:p w:rsidR="004F7E9E" w:rsidRDefault="004F7E9E" w:rsidP="004F7E9E">
      <w:pPr>
        <w:pStyle w:val="a3"/>
        <w:jc w:val="both"/>
        <w:rPr>
          <w:rFonts w:ascii="Times New Roman" w:hAnsi="Times New Roman"/>
          <w:sz w:val="28"/>
          <w:szCs w:val="28"/>
        </w:rPr>
      </w:pPr>
      <w:r>
        <w:rPr>
          <w:rFonts w:ascii="Times New Roman" w:hAnsi="Times New Roman"/>
          <w:sz w:val="28"/>
          <w:szCs w:val="28"/>
        </w:rPr>
        <w:t>29. 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4F7E9E" w:rsidRDefault="004F7E9E" w:rsidP="004F7E9E">
      <w:pPr>
        <w:pStyle w:val="3"/>
        <w:spacing w:before="480"/>
        <w:ind w:left="0"/>
        <w:jc w:val="center"/>
        <w:rPr>
          <w:rFonts w:ascii="Times New Roman" w:hAnsi="Times New Roman"/>
          <w:b w:val="0"/>
          <w:i w:val="0"/>
          <w:sz w:val="28"/>
          <w:szCs w:val="28"/>
        </w:rPr>
      </w:pPr>
      <w:r>
        <w:rPr>
          <w:rFonts w:ascii="Times New Roman" w:hAnsi="Times New Roman"/>
          <w:b w:val="0"/>
          <w:i w:val="0"/>
          <w:sz w:val="28"/>
          <w:szCs w:val="28"/>
        </w:rPr>
        <w:t>_____________________</w:t>
      </w:r>
    </w:p>
    <w:p w:rsidR="004F7E9E" w:rsidRDefault="004F7E9E" w:rsidP="004F7E9E">
      <w:pPr>
        <w:sectPr w:rsidR="004F7E9E">
          <w:headerReference w:type="even" r:id="rId4"/>
          <w:headerReference w:type="default" r:id="rId5"/>
          <w:pgSz w:w="11906" w:h="16838" w:code="9"/>
          <w:pgMar w:top="1134" w:right="1134" w:bottom="1134" w:left="1701" w:header="567" w:footer="567" w:gutter="0"/>
          <w:cols w:space="720"/>
          <w:titlePg/>
        </w:sectPr>
      </w:pPr>
    </w:p>
    <w:p w:rsidR="005946BD" w:rsidRDefault="005946BD"/>
    <w:sectPr w:rsidR="00594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BB" w:rsidRDefault="004F7E9E">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4F7E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BB" w:rsidRPr="00465CB0" w:rsidRDefault="004F7E9E">
    <w:pPr>
      <w:framePr w:wrap="around" w:vAnchor="text" w:hAnchor="margin" w:xAlign="center" w:y="1"/>
      <w:rPr>
        <w:rFonts w:ascii="Times New Roman" w:hAnsi="Times New Roman"/>
        <w:sz w:val="28"/>
        <w:szCs w:val="28"/>
      </w:rPr>
    </w:pPr>
    <w:r w:rsidRPr="00465CB0">
      <w:rPr>
        <w:rFonts w:ascii="Times New Roman" w:hAnsi="Times New Roman"/>
        <w:sz w:val="28"/>
        <w:szCs w:val="28"/>
      </w:rPr>
      <w:fldChar w:fldCharType="begin"/>
    </w:r>
    <w:r w:rsidRPr="00465CB0">
      <w:rPr>
        <w:rFonts w:ascii="Times New Roman" w:hAnsi="Times New Roman"/>
        <w:sz w:val="28"/>
        <w:szCs w:val="28"/>
      </w:rPr>
      <w:instrText xml:space="preserve">PAGE  </w:instrText>
    </w:r>
    <w:r w:rsidRPr="00465CB0">
      <w:rPr>
        <w:rFonts w:ascii="Times New Roman" w:hAnsi="Times New Roman"/>
        <w:sz w:val="28"/>
        <w:szCs w:val="28"/>
      </w:rPr>
      <w:fldChar w:fldCharType="separate"/>
    </w:r>
    <w:r>
      <w:rPr>
        <w:rFonts w:ascii="Times New Roman" w:hAnsi="Times New Roman"/>
        <w:noProof/>
        <w:sz w:val="28"/>
        <w:szCs w:val="28"/>
      </w:rPr>
      <w:t>10</w:t>
    </w:r>
    <w:r w:rsidRPr="00465CB0">
      <w:rPr>
        <w:rFonts w:ascii="Times New Roman" w:hAnsi="Times New Roman"/>
        <w:sz w:val="28"/>
        <w:szCs w:val="28"/>
      </w:rPr>
      <w:fldChar w:fldCharType="end"/>
    </w:r>
  </w:p>
  <w:p w:rsidR="00525BBB" w:rsidRDefault="004F7E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9E"/>
    <w:rsid w:val="004F7E9E"/>
    <w:rsid w:val="0059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86252-EFAF-45D6-AFA1-3BBB3061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9E"/>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4F7E9E"/>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7E9E"/>
    <w:rPr>
      <w:rFonts w:ascii="Antiqua" w:eastAsia="Times New Roman" w:hAnsi="Antiqua" w:cs="Times New Roman"/>
      <w:b/>
      <w:i/>
      <w:sz w:val="26"/>
      <w:szCs w:val="20"/>
      <w:lang w:val="uk-UA" w:eastAsia="ru-RU"/>
    </w:rPr>
  </w:style>
  <w:style w:type="paragraph" w:customStyle="1" w:styleId="a3">
    <w:name w:val="Нормальний текст"/>
    <w:basedOn w:val="a"/>
    <w:rsid w:val="004F7E9E"/>
    <w:pPr>
      <w:spacing w:before="120"/>
      <w:ind w:firstLine="567"/>
    </w:pPr>
  </w:style>
  <w:style w:type="paragraph" w:customStyle="1" w:styleId="a4">
    <w:name w:val="Назва документа"/>
    <w:basedOn w:val="a"/>
    <w:next w:val="a3"/>
    <w:rsid w:val="004F7E9E"/>
    <w:pPr>
      <w:keepNext/>
      <w:keepLines/>
      <w:spacing w:before="240" w:after="240"/>
      <w:jc w:val="center"/>
    </w:pPr>
    <w:rPr>
      <w:b/>
    </w:rPr>
  </w:style>
  <w:style w:type="paragraph" w:customStyle="1" w:styleId="ShapkaDocumentu">
    <w:name w:val="Shapka Documentu"/>
    <w:basedOn w:val="a"/>
    <w:rsid w:val="004F7E9E"/>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15031</Words>
  <Characters>8568</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Lenovo_4</dc:creator>
  <cp:keywords/>
  <dc:description/>
  <cp:lastModifiedBy>Lenovo_4</cp:lastModifiedBy>
  <cp:revision>1</cp:revision>
  <dcterms:created xsi:type="dcterms:W3CDTF">2022-07-02T09:41:00Z</dcterms:created>
  <dcterms:modified xsi:type="dcterms:W3CDTF">2022-07-02T09:43:00Z</dcterms:modified>
</cp:coreProperties>
</file>